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30" w:rsidRDefault="00260630">
      <w:pPr>
        <w:pStyle w:val="BodyText"/>
        <w:spacing w:before="83"/>
        <w:ind w:right="116"/>
        <w:jc w:val="right"/>
        <w:rPr>
          <w:color w:val="231F20"/>
        </w:rPr>
      </w:pPr>
    </w:p>
    <w:p w:rsidR="008B7B9F" w:rsidRDefault="007E39D4">
      <w:pPr>
        <w:pStyle w:val="BodyText"/>
        <w:spacing w:before="83"/>
        <w:ind w:right="116"/>
        <w:jc w:val="right"/>
      </w:pPr>
      <w:r>
        <w:rPr>
          <w:color w:val="231F20"/>
        </w:rPr>
        <w:t>Rev. 1/20</w:t>
      </w:r>
    </w:p>
    <w:p w:rsidR="008B7B9F" w:rsidRDefault="008B7B9F">
      <w:pPr>
        <w:pStyle w:val="BodyText"/>
        <w:spacing w:before="5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040"/>
      </w:tblGrid>
      <w:tr w:rsidR="008B7B9F" w:rsidRPr="00260630" w:rsidTr="00F86CC0">
        <w:trPr>
          <w:trHeight w:val="96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231F20"/>
            </w:tcBorders>
            <w:shd w:val="clear" w:color="auto" w:fill="231F20"/>
          </w:tcPr>
          <w:p w:rsidR="008B7B9F" w:rsidRPr="00260630" w:rsidRDefault="007E39D4">
            <w:pPr>
              <w:pStyle w:val="TableParagraph"/>
              <w:spacing w:before="323"/>
              <w:ind w:left="212" w:right="118"/>
              <w:jc w:val="center"/>
              <w:rPr>
                <w:rFonts w:ascii="HelveticaNeueLT Std" w:hAnsi="HelveticaNeueLT Std"/>
                <w:sz w:val="32"/>
              </w:rPr>
            </w:pPr>
            <w:r w:rsidRPr="00260630">
              <w:rPr>
                <w:rFonts w:ascii="HelveticaNeueLT Std" w:hAnsi="HelveticaNeueLT Std"/>
                <w:color w:val="FFFFFF"/>
                <w:spacing w:val="51"/>
                <w:sz w:val="32"/>
              </w:rPr>
              <w:t>FACTS</w:t>
            </w:r>
            <w:r w:rsidRPr="00260630">
              <w:rPr>
                <w:rFonts w:ascii="HelveticaNeueLT Std" w:hAnsi="HelveticaNeueLT Std"/>
                <w:color w:val="FFFFFF"/>
                <w:spacing w:val="-16"/>
                <w:sz w:val="32"/>
              </w:rPr>
              <w:t xml:space="preserve"> </w:t>
            </w:r>
          </w:p>
        </w:tc>
        <w:tc>
          <w:tcPr>
            <w:tcW w:w="8040" w:type="dxa"/>
            <w:tcBorders>
              <w:top w:val="nil"/>
              <w:bottom w:val="nil"/>
              <w:right w:val="nil"/>
            </w:tcBorders>
            <w:shd w:val="clear" w:color="auto" w:fill="231F20"/>
          </w:tcPr>
          <w:p w:rsidR="008B7B9F" w:rsidRPr="00260630" w:rsidRDefault="007E39D4">
            <w:pPr>
              <w:pStyle w:val="TableParagraph"/>
              <w:spacing w:before="133" w:line="247" w:lineRule="auto"/>
              <w:ind w:left="180" w:right="1425"/>
              <w:rPr>
                <w:rFonts w:ascii="HelveticaNeueLT Std" w:hAnsi="HelveticaNeueLT Std"/>
                <w:sz w:val="32"/>
              </w:rPr>
            </w:pPr>
            <w:r w:rsidRPr="00260630">
              <w:rPr>
                <w:rFonts w:ascii="HelveticaNeueLT Std" w:hAnsi="HelveticaNeueLT Std"/>
                <w:color w:val="FFFFFF"/>
                <w:sz w:val="32"/>
              </w:rPr>
              <w:t>What does PSC Capital Partners LLC do with your personal information?</w:t>
            </w:r>
          </w:p>
        </w:tc>
      </w:tr>
      <w:tr w:rsidR="008B7B9F" w:rsidRPr="00260630" w:rsidTr="00F86CC0">
        <w:trPr>
          <w:trHeight w:val="1149"/>
        </w:trPr>
        <w:tc>
          <w:tcPr>
            <w:tcW w:w="1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7E39D4">
            <w:pPr>
              <w:pStyle w:val="TableParagraph"/>
              <w:spacing w:before="171"/>
              <w:ind w:left="402" w:right="365"/>
              <w:jc w:val="center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WHY?</w:t>
            </w:r>
          </w:p>
        </w:tc>
        <w:tc>
          <w:tcPr>
            <w:tcW w:w="80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91" w:line="232" w:lineRule="auto"/>
              <w:ind w:left="180" w:right="289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Financial</w:t>
            </w:r>
            <w:r w:rsidRPr="00260630">
              <w:rPr>
                <w:rFonts w:ascii="HelveticaNeueLT Std" w:hAnsi="HelveticaNeueLT Std"/>
                <w:color w:val="231F20"/>
                <w:spacing w:val="-2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choose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how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they</w:t>
            </w:r>
            <w:r w:rsidRPr="00260630">
              <w:rPr>
                <w:rFonts w:ascii="HelveticaNeueLT Std" w:hAnsi="HelveticaNeueLT Std"/>
                <w:color w:val="231F20"/>
                <w:spacing w:val="-2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personal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information.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Federal</w:t>
            </w:r>
            <w:r w:rsidRPr="00260630">
              <w:rPr>
                <w:rFonts w:ascii="HelveticaNeueLT Std" w:hAnsi="HelveticaNeueLT Std"/>
                <w:color w:val="231F20"/>
                <w:spacing w:val="-2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law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pacing w:val="-3"/>
                <w:sz w:val="20"/>
              </w:rPr>
              <w:t xml:space="preserve">gives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consumers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right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limit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some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but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not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all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sharing.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Federal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law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also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requires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us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tell you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how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we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collect,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share,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and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protect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personal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information.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Please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read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this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notice carefully to understand what we</w:t>
            </w:r>
            <w:r w:rsidRPr="00260630">
              <w:rPr>
                <w:rFonts w:ascii="HelveticaNeueLT Std" w:hAnsi="HelveticaNeueLT Std"/>
                <w:color w:val="231F20"/>
                <w:spacing w:val="18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do.</w:t>
            </w:r>
          </w:p>
        </w:tc>
      </w:tr>
      <w:tr w:rsidR="008B7B9F" w:rsidRPr="00260630" w:rsidTr="00260630">
        <w:trPr>
          <w:trHeight w:val="2433"/>
        </w:trPr>
        <w:tc>
          <w:tcPr>
            <w:tcW w:w="1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spacing w:before="10"/>
              <w:rPr>
                <w:rFonts w:ascii="HelveticaNeueLT Std" w:hAnsi="HelveticaNeueLT Std"/>
              </w:rPr>
            </w:pPr>
          </w:p>
          <w:p w:rsidR="008B7B9F" w:rsidRPr="00260630" w:rsidRDefault="007E39D4">
            <w:pPr>
              <w:pStyle w:val="TableParagraph"/>
              <w:ind w:left="402" w:right="365"/>
              <w:jc w:val="center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WHAT?</w:t>
            </w:r>
          </w:p>
        </w:tc>
        <w:tc>
          <w:tcPr>
            <w:tcW w:w="80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8B7B9F" w:rsidRPr="00260630" w:rsidRDefault="007E39D4">
            <w:pPr>
              <w:pStyle w:val="TableParagraph"/>
              <w:spacing w:before="73" w:line="232" w:lineRule="auto"/>
              <w:ind w:left="180" w:right="34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The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types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of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personal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we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collect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and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depend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on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</w:t>
            </w:r>
            <w:r w:rsidRPr="00260630">
              <w:rPr>
                <w:rFonts w:ascii="HelveticaNeueLT Std" w:hAnsi="HelveticaNeueLT Std"/>
                <w:color w:val="231F20"/>
                <w:spacing w:val="-1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product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or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service you have with us. This information can</w:t>
            </w:r>
            <w:r w:rsidRPr="00260630">
              <w:rPr>
                <w:rFonts w:ascii="HelveticaNeueLT Std" w:hAnsi="HelveticaNeueLT Std"/>
                <w:color w:val="231F20"/>
                <w:spacing w:val="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include: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82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Social Security number and</w:t>
            </w:r>
            <w:r w:rsidRPr="00260630">
              <w:rPr>
                <w:rFonts w:ascii="HelveticaNeueLT Std" w:hAnsi="HelveticaNeueLT Std"/>
                <w:color w:val="231F20"/>
                <w:spacing w:val="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assets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82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Employment information and</w:t>
            </w:r>
            <w:r w:rsidRPr="00260630">
              <w:rPr>
                <w:rFonts w:ascii="HelveticaNeueLT Std" w:hAnsi="HelveticaNeueLT Std"/>
                <w:color w:val="231F20"/>
                <w:spacing w:val="1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income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81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Investment experience and risk</w:t>
            </w:r>
            <w:r w:rsidRPr="00260630">
              <w:rPr>
                <w:rFonts w:ascii="HelveticaNeueLT Std" w:hAnsi="HelveticaNeueLT Std"/>
                <w:color w:val="231F20"/>
                <w:spacing w:val="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tolerance</w:t>
            </w:r>
          </w:p>
          <w:p w:rsidR="008B7B9F" w:rsidRPr="00260630" w:rsidRDefault="007E39D4">
            <w:pPr>
              <w:pStyle w:val="TableParagraph"/>
              <w:spacing w:before="87" w:line="232" w:lineRule="auto"/>
              <w:ind w:left="180" w:right="163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When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are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i/>
                <w:color w:val="231F20"/>
                <w:sz w:val="20"/>
              </w:rPr>
              <w:t>no</w:t>
            </w:r>
            <w:r w:rsidRPr="00260630">
              <w:rPr>
                <w:rFonts w:ascii="HelveticaNeueLT Std" w:hAnsi="HelveticaNeueLT Std"/>
                <w:i/>
                <w:color w:val="231F20"/>
                <w:spacing w:val="-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i/>
                <w:color w:val="231F20"/>
                <w:sz w:val="20"/>
              </w:rPr>
              <w:t>longer</w:t>
            </w:r>
            <w:r w:rsidRPr="00260630">
              <w:rPr>
                <w:rFonts w:ascii="HelveticaNeueLT Std" w:hAnsi="HelveticaNeueLT Std"/>
                <w:i/>
                <w:color w:val="231F20"/>
                <w:spacing w:val="-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our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pacing w:val="-3"/>
                <w:sz w:val="20"/>
              </w:rPr>
              <w:t>customer,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we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continue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as</w:t>
            </w: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described in this</w:t>
            </w:r>
            <w:r w:rsidRPr="00260630">
              <w:rPr>
                <w:rFonts w:ascii="HelveticaNeueLT Std" w:hAnsi="HelveticaNeueLT Std"/>
                <w:color w:val="231F20"/>
                <w:spacing w:val="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notice.</w:t>
            </w:r>
          </w:p>
        </w:tc>
      </w:tr>
      <w:tr w:rsidR="008B7B9F" w:rsidRPr="00260630" w:rsidTr="00260630">
        <w:trPr>
          <w:trHeight w:val="1239"/>
        </w:trPr>
        <w:tc>
          <w:tcPr>
            <w:tcW w:w="1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spacing w:before="9"/>
              <w:rPr>
                <w:rFonts w:ascii="HelveticaNeueLT Std" w:hAnsi="HelveticaNeueLT Std"/>
                <w:sz w:val="18"/>
              </w:rPr>
            </w:pPr>
          </w:p>
          <w:p w:rsidR="008B7B9F" w:rsidRPr="00260630" w:rsidRDefault="007E39D4">
            <w:pPr>
              <w:pStyle w:val="TableParagraph"/>
              <w:ind w:left="402" w:right="365"/>
              <w:jc w:val="center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HOW?</w:t>
            </w:r>
          </w:p>
        </w:tc>
        <w:tc>
          <w:tcPr>
            <w:tcW w:w="80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142" w:line="225" w:lineRule="auto"/>
              <w:ind w:left="180" w:right="448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All financial companies need to share customers’ personal information to run their everyday business. In the section </w:t>
            </w:r>
            <w:r w:rsidRPr="00260630">
              <w:rPr>
                <w:rFonts w:ascii="HelveticaNeueLT Std" w:hAnsi="HelveticaNeueLT Std"/>
                <w:color w:val="231F20"/>
                <w:spacing w:val="-4"/>
                <w:sz w:val="20"/>
              </w:rPr>
              <w:t xml:space="preserve">below,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we list the reasons financial companies can share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their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customers’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personal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information;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reasons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Piper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Sandler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chooses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share; and whether you can limit this</w:t>
            </w:r>
            <w:r w:rsidRPr="00260630">
              <w:rPr>
                <w:rFonts w:ascii="HelveticaNeueLT Std" w:hAnsi="HelveticaNeueLT Std"/>
                <w:color w:val="231F20"/>
                <w:spacing w:val="2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sharing.</w:t>
            </w:r>
          </w:p>
        </w:tc>
      </w:tr>
    </w:tbl>
    <w:p w:rsidR="008B7B9F" w:rsidRPr="00260630" w:rsidRDefault="008B7B9F">
      <w:pPr>
        <w:pStyle w:val="BodyText"/>
        <w:rPr>
          <w:rFonts w:ascii="HelveticaNeueLT Std" w:hAnsi="HelveticaNeueLT Std"/>
        </w:rPr>
      </w:pPr>
    </w:p>
    <w:p w:rsidR="008B7B9F" w:rsidRPr="00260630" w:rsidRDefault="008B7B9F">
      <w:pPr>
        <w:pStyle w:val="BodyText"/>
        <w:spacing w:before="10"/>
        <w:rPr>
          <w:rFonts w:ascii="HelveticaNeueLT Std" w:hAnsi="HelveticaNeueLT Std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800"/>
        <w:gridCol w:w="1800"/>
      </w:tblGrid>
      <w:tr w:rsidR="008B7B9F" w:rsidRPr="00260630" w:rsidTr="00260630">
        <w:trPr>
          <w:trHeight w:val="80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8" w:space="0" w:color="231F20"/>
            </w:tcBorders>
            <w:shd w:val="clear" w:color="auto" w:fill="231F20"/>
          </w:tcPr>
          <w:p w:rsidR="008B7B9F" w:rsidRPr="00260630" w:rsidRDefault="008B7B9F">
            <w:pPr>
              <w:pStyle w:val="TableParagraph"/>
              <w:spacing w:before="4"/>
              <w:rPr>
                <w:rFonts w:ascii="HelveticaNeueLT Std" w:hAnsi="HelveticaNeueLT Std"/>
                <w:sz w:val="25"/>
              </w:rPr>
            </w:pPr>
          </w:p>
          <w:p w:rsidR="008B7B9F" w:rsidRPr="00260630" w:rsidRDefault="007E39D4">
            <w:pPr>
              <w:pStyle w:val="TableParagraph"/>
              <w:ind w:left="9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FFFFFF"/>
              </w:rPr>
              <w:t>Reasons we can share your personal information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231F20"/>
          </w:tcPr>
          <w:p w:rsidR="008B7B9F" w:rsidRPr="00260630" w:rsidRDefault="007E39D4">
            <w:pPr>
              <w:pStyle w:val="TableParagraph"/>
              <w:spacing w:before="159"/>
              <w:ind w:left="208" w:right="189"/>
              <w:jc w:val="center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FFFFFF"/>
              </w:rPr>
              <w:t>Does Piper</w:t>
            </w:r>
          </w:p>
          <w:p w:rsidR="008B7B9F" w:rsidRPr="00260630" w:rsidRDefault="007E39D4">
            <w:pPr>
              <w:pStyle w:val="TableParagraph"/>
              <w:spacing w:before="11"/>
              <w:ind w:left="208" w:right="189"/>
              <w:jc w:val="center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FFFFFF"/>
              </w:rPr>
              <w:t>Sandler share?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231F20"/>
          </w:tcPr>
          <w:p w:rsidR="008B7B9F" w:rsidRPr="00260630" w:rsidRDefault="007E39D4">
            <w:pPr>
              <w:pStyle w:val="TableParagraph"/>
              <w:spacing w:before="159" w:line="252" w:lineRule="auto"/>
              <w:ind w:left="316" w:hanging="19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FFFFFF"/>
              </w:rPr>
              <w:t>Can you limit this sharing?</w:t>
            </w:r>
          </w:p>
        </w:tc>
      </w:tr>
      <w:tr w:rsidR="008B7B9F" w:rsidRPr="00260630" w:rsidTr="00260630">
        <w:trPr>
          <w:trHeight w:val="97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96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our everyday business purposes—</w:t>
            </w:r>
          </w:p>
          <w:p w:rsidR="008B7B9F" w:rsidRPr="00260630" w:rsidRDefault="007E39D4">
            <w:pPr>
              <w:pStyle w:val="TableParagraph"/>
              <w:spacing w:before="101" w:line="252" w:lineRule="auto"/>
              <w:ind w:left="80" w:right="-5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such as to process your transactions, maintain your account(s), respond to court orders and legal investigations, or report to credit bureaus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3"/>
              <w:rPr>
                <w:rFonts w:ascii="HelveticaNeueLT Std" w:hAnsi="HelveticaNeueLT Std"/>
                <w:sz w:val="32"/>
              </w:rPr>
            </w:pPr>
          </w:p>
          <w:p w:rsidR="008B7B9F" w:rsidRPr="00260630" w:rsidRDefault="007E39D4">
            <w:pPr>
              <w:pStyle w:val="TableParagraph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Yes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3"/>
              <w:rPr>
                <w:rFonts w:ascii="HelveticaNeueLT Std" w:hAnsi="HelveticaNeueLT Std"/>
                <w:sz w:val="32"/>
              </w:rPr>
            </w:pPr>
          </w:p>
          <w:p w:rsidR="008B7B9F" w:rsidRPr="00260630" w:rsidRDefault="007E39D4">
            <w:pPr>
              <w:pStyle w:val="TableParagraph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</w:tr>
      <w:tr w:rsidR="008B7B9F" w:rsidRPr="00260630">
        <w:trPr>
          <w:trHeight w:val="70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8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our marketing purposes—</w:t>
            </w:r>
          </w:p>
          <w:p w:rsidR="008B7B9F" w:rsidRPr="00260630" w:rsidRDefault="007E39D4">
            <w:pPr>
              <w:pStyle w:val="TableParagraph"/>
              <w:spacing w:before="10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to offer our products and services to you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6"/>
              <w:rPr>
                <w:rFonts w:ascii="HelveticaNeueLT Std" w:hAnsi="HelveticaNeueLT Std"/>
                <w:sz w:val="20"/>
              </w:rPr>
            </w:pPr>
          </w:p>
          <w:p w:rsidR="008B7B9F" w:rsidRPr="00260630" w:rsidRDefault="007E39D4">
            <w:pPr>
              <w:pStyle w:val="TableParagraph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Yes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6"/>
              <w:rPr>
                <w:rFonts w:ascii="HelveticaNeueLT Std" w:hAnsi="HelveticaNeueLT Std"/>
                <w:sz w:val="20"/>
              </w:rPr>
            </w:pPr>
          </w:p>
          <w:p w:rsidR="008B7B9F" w:rsidRPr="00260630" w:rsidRDefault="007E39D4">
            <w:pPr>
              <w:pStyle w:val="TableParagraph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</w:tr>
      <w:tr w:rsidR="008B7B9F" w:rsidRPr="00260630">
        <w:trPr>
          <w:trHeight w:val="34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66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joint marketing with other financial companies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We don’t share</w:t>
            </w:r>
          </w:p>
        </w:tc>
      </w:tr>
      <w:tr w:rsidR="008B7B9F" w:rsidRPr="00260630">
        <w:trPr>
          <w:trHeight w:val="70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8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our affiliates’ everyday business purposes—</w:t>
            </w:r>
          </w:p>
          <w:p w:rsidR="008B7B9F" w:rsidRPr="00260630" w:rsidRDefault="007E39D4">
            <w:pPr>
              <w:pStyle w:val="TableParagraph"/>
              <w:spacing w:before="10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 about your transactions and experiences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1"/>
              <w:rPr>
                <w:rFonts w:ascii="HelveticaNeueLT Std" w:hAnsi="HelveticaNeueLT Std"/>
                <w:sz w:val="21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209" w:right="167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Yes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1"/>
              <w:rPr>
                <w:rFonts w:ascii="HelveticaNeueLT Std" w:hAnsi="HelveticaNeueLT Std"/>
                <w:sz w:val="21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</w:tr>
      <w:tr w:rsidR="008B7B9F" w:rsidRPr="00260630">
        <w:trPr>
          <w:trHeight w:val="70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8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our affiliates’ everyday business purposes—</w:t>
            </w:r>
          </w:p>
          <w:p w:rsidR="008B7B9F" w:rsidRPr="00260630" w:rsidRDefault="007E39D4">
            <w:pPr>
              <w:pStyle w:val="TableParagraph"/>
              <w:spacing w:before="101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 about your creditworthiness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5"/>
              <w:rPr>
                <w:rFonts w:ascii="HelveticaNeueLT Std" w:hAnsi="HelveticaNeueLT Std"/>
                <w:sz w:val="20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8B7B9F">
            <w:pPr>
              <w:pStyle w:val="TableParagraph"/>
              <w:spacing w:before="5"/>
              <w:rPr>
                <w:rFonts w:ascii="HelveticaNeueLT Std" w:hAnsi="HelveticaNeueLT Std"/>
                <w:sz w:val="20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We don’t share</w:t>
            </w:r>
          </w:p>
        </w:tc>
      </w:tr>
      <w:tr w:rsidR="008B7B9F" w:rsidRPr="00260630">
        <w:trPr>
          <w:trHeight w:val="34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66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For our affiliates to market to you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We don’t share</w:t>
            </w:r>
          </w:p>
        </w:tc>
      </w:tr>
      <w:tr w:rsidR="008B7B9F" w:rsidRPr="00260630">
        <w:trPr>
          <w:trHeight w:val="340"/>
        </w:trPr>
        <w:tc>
          <w:tcPr>
            <w:tcW w:w="6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66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For </w:t>
            </w:r>
            <w:proofErr w:type="spellStart"/>
            <w:r w:rsidRPr="00260630">
              <w:rPr>
                <w:rFonts w:ascii="HelveticaNeueLT Std" w:hAnsi="HelveticaNeueLT Std"/>
                <w:color w:val="231F20"/>
                <w:sz w:val="20"/>
              </w:rPr>
              <w:t>nonaffiliates</w:t>
            </w:r>
            <w:proofErr w:type="spellEnd"/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 to market to you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No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7B9F" w:rsidRPr="00260630" w:rsidRDefault="007E39D4">
            <w:pPr>
              <w:pStyle w:val="TableParagraph"/>
              <w:spacing w:before="55"/>
              <w:ind w:left="209" w:right="189"/>
              <w:jc w:val="center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We don’t share</w:t>
            </w:r>
          </w:p>
        </w:tc>
      </w:tr>
    </w:tbl>
    <w:p w:rsidR="008B7B9F" w:rsidRPr="00260630" w:rsidRDefault="008B7B9F">
      <w:pPr>
        <w:pStyle w:val="BodyText"/>
        <w:rPr>
          <w:rFonts w:ascii="HelveticaNeueLT Std" w:hAnsi="HelveticaNeueLT Std"/>
        </w:rPr>
      </w:pPr>
    </w:p>
    <w:p w:rsidR="008B7B9F" w:rsidRPr="00260630" w:rsidRDefault="008B7B9F">
      <w:pPr>
        <w:pStyle w:val="BodyText"/>
        <w:spacing w:before="1"/>
        <w:rPr>
          <w:rFonts w:ascii="HelveticaNeueLT Std" w:hAnsi="HelveticaNeueLT Std"/>
          <w:sz w:val="17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560"/>
      </w:tblGrid>
      <w:tr w:rsidR="008B7B9F" w:rsidRPr="00260630">
        <w:trPr>
          <w:trHeight w:val="430"/>
        </w:trPr>
        <w:tc>
          <w:tcPr>
            <w:tcW w:w="2160" w:type="dxa"/>
          </w:tcPr>
          <w:p w:rsidR="008B7B9F" w:rsidRPr="00260630" w:rsidRDefault="007E39D4">
            <w:pPr>
              <w:pStyle w:val="TableParagraph"/>
              <w:spacing w:before="101"/>
              <w:ind w:left="357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QUESTIONS?</w:t>
            </w:r>
          </w:p>
        </w:tc>
        <w:tc>
          <w:tcPr>
            <w:tcW w:w="7560" w:type="dxa"/>
          </w:tcPr>
          <w:p w:rsidR="008B7B9F" w:rsidRPr="00260630" w:rsidRDefault="00260630">
            <w:pPr>
              <w:pStyle w:val="TableParagraph"/>
              <w:spacing w:before="95"/>
              <w:ind w:left="80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color w:val="231F20"/>
                <w:sz w:val="20"/>
              </w:rPr>
              <w:t xml:space="preserve">   </w:t>
            </w:r>
            <w:r w:rsidR="007E39D4" w:rsidRPr="00260630">
              <w:rPr>
                <w:rFonts w:ascii="HelveticaNeueLT Std" w:hAnsi="HelveticaNeueLT Std"/>
                <w:color w:val="231F20"/>
                <w:sz w:val="20"/>
              </w:rPr>
              <w:t xml:space="preserve">Call 800 333-6000 or go to </w:t>
            </w:r>
            <w:hyperlink r:id="rId7">
              <w:r w:rsidR="007E39D4" w:rsidRPr="00260630">
                <w:rPr>
                  <w:rFonts w:ascii="HelveticaNeueLT Std" w:hAnsi="HelveticaNeueLT Std"/>
                  <w:color w:val="231F20"/>
                  <w:sz w:val="20"/>
                </w:rPr>
                <w:t>www.pipersandler.com</w:t>
              </w:r>
            </w:hyperlink>
          </w:p>
        </w:tc>
      </w:tr>
    </w:tbl>
    <w:p w:rsidR="008B7B9F" w:rsidRPr="00260630" w:rsidRDefault="008B7B9F">
      <w:pPr>
        <w:rPr>
          <w:rFonts w:ascii="HelveticaNeueLT Std" w:hAnsi="HelveticaNeueLT Std"/>
          <w:sz w:val="20"/>
        </w:rPr>
        <w:sectPr w:rsidR="008B7B9F" w:rsidRPr="00260630">
          <w:footerReference w:type="default" r:id="rId8"/>
          <w:type w:val="continuous"/>
          <w:pgSz w:w="12240" w:h="15840"/>
          <w:pgMar w:top="500" w:right="1120" w:bottom="1440" w:left="1160" w:header="720" w:footer="124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6390"/>
      </w:tblGrid>
      <w:tr w:rsidR="008B7B9F" w:rsidRPr="00260630" w:rsidTr="00F86CC0">
        <w:trPr>
          <w:trHeight w:val="530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31F20"/>
          </w:tcPr>
          <w:p w:rsidR="008B7B9F" w:rsidRPr="00260630" w:rsidRDefault="007E39D4" w:rsidP="00260630">
            <w:pPr>
              <w:pStyle w:val="TableParagraph"/>
              <w:tabs>
                <w:tab w:val="left" w:pos="1453"/>
                <w:tab w:val="left" w:pos="2174"/>
              </w:tabs>
              <w:spacing w:before="104"/>
              <w:ind w:left="190"/>
              <w:rPr>
                <w:rFonts w:ascii="HelveticaNeueLT Std" w:hAnsi="HelveticaNeueLT Std"/>
                <w:sz w:val="32"/>
              </w:rPr>
            </w:pPr>
            <w:r w:rsidRPr="00260630">
              <w:rPr>
                <w:rFonts w:ascii="HelveticaNeueLT Std" w:hAnsi="HelveticaNeueLT Std"/>
                <w:color w:val="FFFFFF"/>
                <w:spacing w:val="32"/>
                <w:sz w:val="32"/>
              </w:rPr>
              <w:lastRenderedPageBreak/>
              <w:t>WH</w:t>
            </w:r>
            <w:r w:rsidRPr="00260630">
              <w:rPr>
                <w:rFonts w:ascii="HelveticaNeueLT Std" w:hAnsi="HelveticaNeueLT Std"/>
                <w:color w:val="FFFFFF"/>
                <w:sz w:val="32"/>
              </w:rPr>
              <w:t>A</w:t>
            </w:r>
            <w:r w:rsidRPr="00260630">
              <w:rPr>
                <w:rFonts w:ascii="HelveticaNeueLT Std" w:hAnsi="HelveticaNeueLT Std"/>
                <w:color w:val="FFFFFF"/>
                <w:spacing w:val="-39"/>
                <w:sz w:val="32"/>
              </w:rPr>
              <w:t xml:space="preserve"> </w:t>
            </w:r>
            <w:r w:rsidRPr="00260630">
              <w:rPr>
                <w:rFonts w:ascii="HelveticaNeueLT Std" w:hAnsi="HelveticaNeueLT Std"/>
                <w:color w:val="FFFFFF"/>
                <w:sz w:val="32"/>
              </w:rPr>
              <w:t>T</w:t>
            </w:r>
            <w:r w:rsidRPr="00260630">
              <w:rPr>
                <w:rFonts w:ascii="HelveticaNeueLT Std" w:hAnsi="HelveticaNeueLT Std"/>
                <w:color w:val="FFFFFF"/>
                <w:sz w:val="32"/>
              </w:rPr>
              <w:tab/>
            </w:r>
            <w:r w:rsidRPr="00260630">
              <w:rPr>
                <w:rFonts w:ascii="HelveticaNeueLT Std" w:hAnsi="HelveticaNeueLT Std"/>
                <w:color w:val="FFFFFF"/>
                <w:spacing w:val="32"/>
                <w:sz w:val="32"/>
              </w:rPr>
              <w:t>WE</w:t>
            </w:r>
            <w:r w:rsidRPr="00260630">
              <w:rPr>
                <w:rFonts w:ascii="HelveticaNeueLT Std" w:hAnsi="HelveticaNeueLT Std"/>
                <w:color w:val="FFFFFF"/>
                <w:spacing w:val="32"/>
                <w:sz w:val="32"/>
              </w:rPr>
              <w:tab/>
              <w:t>DO</w:t>
            </w:r>
            <w:r w:rsidRPr="00260630">
              <w:rPr>
                <w:rFonts w:ascii="HelveticaNeueLT Std" w:hAnsi="HelveticaNeueLT Std"/>
                <w:color w:val="FFFFFF"/>
                <w:spacing w:val="-16"/>
                <w:sz w:val="32"/>
              </w:rPr>
              <w:t xml:space="preserve"> </w:t>
            </w:r>
          </w:p>
        </w:tc>
      </w:tr>
      <w:tr w:rsidR="008B7B9F" w:rsidRPr="00260630">
        <w:trPr>
          <w:trHeight w:val="1510"/>
        </w:trPr>
        <w:tc>
          <w:tcPr>
            <w:tcW w:w="3330" w:type="dxa"/>
          </w:tcPr>
          <w:p w:rsidR="008B7B9F" w:rsidRPr="00260630" w:rsidRDefault="007E39D4" w:rsidP="00260630">
            <w:pPr>
              <w:pStyle w:val="TableParagraph"/>
              <w:spacing w:before="120" w:line="252" w:lineRule="auto"/>
              <w:ind w:left="187" w:right="461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HOW DOES PIPER SANDLER PROTECT MY PERSONAL</w:t>
            </w:r>
          </w:p>
          <w:p w:rsidR="008B7B9F" w:rsidRPr="00260630" w:rsidRDefault="007E39D4">
            <w:pPr>
              <w:pStyle w:val="TableParagraph"/>
              <w:spacing w:line="249" w:lineRule="exact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INFORMATION?</w:t>
            </w:r>
          </w:p>
        </w:tc>
        <w:tc>
          <w:tcPr>
            <w:tcW w:w="6390" w:type="dxa"/>
          </w:tcPr>
          <w:p w:rsidR="008B7B9F" w:rsidRPr="00260630" w:rsidRDefault="007E39D4">
            <w:pPr>
              <w:pStyle w:val="TableParagraph"/>
              <w:spacing w:before="166" w:line="232" w:lineRule="auto"/>
              <w:ind w:left="80" w:right="85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pacing w:val="-10"/>
                <w:sz w:val="20"/>
              </w:rPr>
              <w:t xml:space="preserve">To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protect your personal information from unauthorized access and use, we use security measures that comply with federal </w:t>
            </w:r>
            <w:r w:rsidRPr="00260630">
              <w:rPr>
                <w:rFonts w:ascii="HelveticaNeueLT Std" w:hAnsi="HelveticaNeueLT Std"/>
                <w:color w:val="231F20"/>
                <w:spacing w:val="-5"/>
                <w:sz w:val="20"/>
              </w:rPr>
              <w:t xml:space="preserve">law.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These measures</w:t>
            </w:r>
            <w:r w:rsidRPr="00260630">
              <w:rPr>
                <w:rFonts w:ascii="HelveticaNeueLT Std" w:hAnsi="HelveticaNeueLT Std"/>
                <w:color w:val="231F20"/>
                <w:spacing w:val="-26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include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computer</w:t>
            </w:r>
            <w:r w:rsidRPr="00260630">
              <w:rPr>
                <w:rFonts w:ascii="HelveticaNeueLT Std" w:hAnsi="HelveticaNeueLT Std"/>
                <w:color w:val="231F20"/>
                <w:spacing w:val="-26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safeguards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and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secured</w:t>
            </w:r>
            <w:r w:rsidRPr="00260630">
              <w:rPr>
                <w:rFonts w:ascii="HelveticaNeueLT Std" w:hAnsi="HelveticaNeueLT Std"/>
                <w:color w:val="231F20"/>
                <w:spacing w:val="-26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files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and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buildings. </w:t>
            </w:r>
            <w:r w:rsidRPr="00260630">
              <w:rPr>
                <w:rFonts w:ascii="HelveticaNeueLT Std" w:hAnsi="HelveticaNeueLT Std"/>
                <w:color w:val="231F20"/>
                <w:spacing w:val="-8"/>
                <w:sz w:val="20"/>
              </w:rPr>
              <w:t>We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limit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access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those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employees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who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are</w:t>
            </w:r>
            <w:r w:rsidRPr="00260630">
              <w:rPr>
                <w:rFonts w:ascii="HelveticaNeueLT Std" w:hAnsi="HelveticaNeueLT Std"/>
                <w:color w:val="231F20"/>
                <w:spacing w:val="-1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trained in the proper handling of nonpublic client</w:t>
            </w:r>
            <w:r w:rsidRPr="00260630">
              <w:rPr>
                <w:rFonts w:ascii="HelveticaNeueLT Std" w:hAnsi="HelveticaNeueLT Std"/>
                <w:color w:val="231F20"/>
                <w:spacing w:val="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information.</w:t>
            </w:r>
          </w:p>
        </w:tc>
      </w:tr>
      <w:tr w:rsidR="008B7B9F" w:rsidRPr="00260630">
        <w:trPr>
          <w:trHeight w:val="2050"/>
        </w:trPr>
        <w:tc>
          <w:tcPr>
            <w:tcW w:w="3330" w:type="dxa"/>
          </w:tcPr>
          <w:p w:rsidR="008B7B9F" w:rsidRPr="00260630" w:rsidRDefault="008B7B9F">
            <w:pPr>
              <w:pStyle w:val="TableParagraph"/>
              <w:spacing w:before="4"/>
              <w:rPr>
                <w:rFonts w:ascii="HelveticaNeueLT Std" w:hAnsi="HelveticaNeueLT Std"/>
                <w:sz w:val="32"/>
              </w:rPr>
            </w:pPr>
          </w:p>
          <w:p w:rsidR="008B7B9F" w:rsidRPr="00260630" w:rsidRDefault="007E39D4">
            <w:pPr>
              <w:pStyle w:val="TableParagraph"/>
              <w:spacing w:line="252" w:lineRule="auto"/>
              <w:ind w:left="180" w:right="466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HOW DOES PIPER SANDLER COLLECT MY PERSONAL</w:t>
            </w:r>
          </w:p>
          <w:p w:rsidR="008B7B9F" w:rsidRPr="00260630" w:rsidRDefault="007E39D4">
            <w:pPr>
              <w:pStyle w:val="TableParagraph"/>
              <w:spacing w:line="249" w:lineRule="exact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INFORMATION?</w:t>
            </w:r>
          </w:p>
        </w:tc>
        <w:tc>
          <w:tcPr>
            <w:tcW w:w="6390" w:type="dxa"/>
          </w:tcPr>
          <w:p w:rsidR="008B7B9F" w:rsidRPr="00260630" w:rsidRDefault="007E39D4">
            <w:pPr>
              <w:pStyle w:val="TableParagraph"/>
              <w:spacing w:before="130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We collect your personal information, for example, when you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81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Open an account or give us your contact</w:t>
            </w:r>
            <w:r w:rsidRPr="00260630">
              <w:rPr>
                <w:rFonts w:ascii="HelveticaNeueLT Std" w:hAnsi="HelveticaNeueLT Std"/>
                <w:color w:val="231F20"/>
                <w:spacing w:val="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82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Give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us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income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or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provide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employment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81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Seek advice about your</w:t>
            </w:r>
            <w:r w:rsidRPr="00260630">
              <w:rPr>
                <w:rFonts w:ascii="HelveticaNeueLT Std" w:hAnsi="HelveticaNeueLT Std"/>
                <w:color w:val="231F20"/>
                <w:spacing w:val="1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investments</w:t>
            </w:r>
          </w:p>
          <w:p w:rsidR="008B7B9F" w:rsidRPr="00260630" w:rsidRDefault="007E39D4">
            <w:pPr>
              <w:pStyle w:val="TableParagraph"/>
              <w:spacing w:before="87" w:line="232" w:lineRule="auto"/>
              <w:ind w:left="80" w:right="318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pacing w:val="-8"/>
                <w:sz w:val="20"/>
              </w:rPr>
              <w:t>We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also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collect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personal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information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from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others,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such</w:t>
            </w:r>
            <w:r w:rsidRPr="00260630">
              <w:rPr>
                <w:rFonts w:ascii="HelveticaNeueLT Std" w:hAnsi="HelveticaNeueLT Std"/>
                <w:color w:val="231F20"/>
                <w:spacing w:val="-1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as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credit bureaus, affiliates, or other</w:t>
            </w:r>
            <w:r w:rsidRPr="00260630">
              <w:rPr>
                <w:rFonts w:ascii="HelveticaNeueLT Std" w:hAnsi="HelveticaNeueLT Std"/>
                <w:color w:val="231F20"/>
                <w:spacing w:val="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companies.</w:t>
            </w:r>
          </w:p>
        </w:tc>
      </w:tr>
      <w:tr w:rsidR="008B7B9F" w:rsidRPr="00260630">
        <w:trPr>
          <w:trHeight w:val="2230"/>
        </w:trPr>
        <w:tc>
          <w:tcPr>
            <w:tcW w:w="3330" w:type="dxa"/>
          </w:tcPr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spacing w:before="8"/>
              <w:rPr>
                <w:rFonts w:ascii="HelveticaNeueLT Std" w:hAnsi="HelveticaNeueLT Std"/>
                <w:sz w:val="27"/>
              </w:rPr>
            </w:pPr>
          </w:p>
          <w:p w:rsidR="008B7B9F" w:rsidRPr="00260630" w:rsidRDefault="007E39D4">
            <w:pPr>
              <w:pStyle w:val="TableParagraph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WHY CAN’T I LIMIT ALL</w:t>
            </w:r>
          </w:p>
          <w:p w:rsidR="008B7B9F" w:rsidRPr="00260630" w:rsidRDefault="007E39D4">
            <w:pPr>
              <w:pStyle w:val="TableParagraph"/>
              <w:spacing w:before="12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SHARING?</w:t>
            </w:r>
          </w:p>
        </w:tc>
        <w:tc>
          <w:tcPr>
            <w:tcW w:w="6390" w:type="dxa"/>
          </w:tcPr>
          <w:p w:rsidR="008B7B9F" w:rsidRPr="00260630" w:rsidRDefault="007E39D4">
            <w:pPr>
              <w:pStyle w:val="TableParagraph"/>
              <w:spacing w:before="100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Federal law gives you the right to limit only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87" w:line="232" w:lineRule="auto"/>
              <w:ind w:right="117" w:hanging="166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w w:val="95"/>
                <w:sz w:val="20"/>
              </w:rPr>
              <w:t xml:space="preserve">sharing for affiliates’ everyday business purposes—information </w:t>
            </w:r>
            <w:r w:rsidRPr="00260630">
              <w:rPr>
                <w:rFonts w:ascii="HelveticaNeueLT Std" w:hAnsi="HelveticaNeueLT Std"/>
                <w:color w:val="231F20"/>
                <w:spacing w:val="-3"/>
                <w:w w:val="95"/>
                <w:sz w:val="20"/>
              </w:rPr>
              <w:t xml:space="preserve">about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your</w:t>
            </w:r>
            <w:r w:rsidRPr="00260630">
              <w:rPr>
                <w:rFonts w:ascii="HelveticaNeueLT Std" w:hAnsi="HelveticaNeueLT Std"/>
                <w:color w:val="231F20"/>
                <w:spacing w:val="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creditworthiness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82"/>
              <w:ind w:left="271"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affiliates from using your information to market to</w:t>
            </w:r>
            <w:r w:rsidRPr="00260630">
              <w:rPr>
                <w:rFonts w:ascii="HelveticaNeueLT Std" w:hAnsi="HelveticaNeueLT Std"/>
                <w:color w:val="231F20"/>
                <w:spacing w:val="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82"/>
              <w:ind w:left="271"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sharing for </w:t>
            </w:r>
            <w:proofErr w:type="spellStart"/>
            <w:r w:rsidRPr="00260630">
              <w:rPr>
                <w:rFonts w:ascii="HelveticaNeueLT Std" w:hAnsi="HelveticaNeueLT Std"/>
                <w:color w:val="231F20"/>
                <w:sz w:val="20"/>
              </w:rPr>
              <w:t>nonaffiliates</w:t>
            </w:r>
            <w:proofErr w:type="spellEnd"/>
            <w:r w:rsidRPr="00260630">
              <w:rPr>
                <w:rFonts w:ascii="HelveticaNeueLT Std" w:hAnsi="HelveticaNeueLT Std"/>
                <w:color w:val="231F20"/>
                <w:sz w:val="20"/>
              </w:rPr>
              <w:t xml:space="preserve"> to market to</w:t>
            </w:r>
            <w:r w:rsidRPr="00260630">
              <w:rPr>
                <w:rFonts w:ascii="HelveticaNeueLT Std" w:hAnsi="HelveticaNeueLT Std"/>
                <w:color w:val="231F20"/>
                <w:spacing w:val="18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</w:t>
            </w:r>
          </w:p>
          <w:p w:rsidR="008B7B9F" w:rsidRPr="00260630" w:rsidRDefault="007E39D4">
            <w:pPr>
              <w:pStyle w:val="TableParagraph"/>
              <w:spacing w:before="87" w:line="232" w:lineRule="auto"/>
              <w:ind w:left="80" w:right="233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State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laws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and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individual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may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give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additional</w:t>
            </w:r>
            <w:r w:rsidRPr="00260630">
              <w:rPr>
                <w:rFonts w:ascii="HelveticaNeueLT Std" w:hAnsi="HelveticaNeueLT Std"/>
                <w:color w:val="231F20"/>
                <w:spacing w:val="-2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rights</w:t>
            </w:r>
            <w:r w:rsidRPr="00260630">
              <w:rPr>
                <w:rFonts w:ascii="HelveticaNeueLT Std" w:hAnsi="HelveticaNeueLT Std"/>
                <w:color w:val="231F20"/>
                <w:spacing w:val="-2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pacing w:val="-6"/>
                <w:sz w:val="20"/>
              </w:rPr>
              <w:t xml:space="preserve">to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limit</w:t>
            </w:r>
            <w:r w:rsidRPr="00260630">
              <w:rPr>
                <w:rFonts w:ascii="HelveticaNeueLT Std" w:hAnsi="HelveticaNeueLT Std"/>
                <w:color w:val="231F20"/>
                <w:spacing w:val="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sharing.</w:t>
            </w:r>
          </w:p>
        </w:tc>
      </w:tr>
    </w:tbl>
    <w:p w:rsidR="008B7B9F" w:rsidRPr="00260630" w:rsidRDefault="008B7B9F">
      <w:pPr>
        <w:pStyle w:val="BodyText"/>
        <w:rPr>
          <w:rFonts w:ascii="HelveticaNeueLT Std" w:hAnsi="HelveticaNeueLT Std"/>
        </w:rPr>
      </w:pPr>
    </w:p>
    <w:p w:rsidR="008B7B9F" w:rsidRPr="00260630" w:rsidRDefault="008B7B9F">
      <w:pPr>
        <w:pStyle w:val="BodyText"/>
        <w:spacing w:before="2"/>
        <w:rPr>
          <w:rFonts w:ascii="HelveticaNeueLT Std" w:hAnsi="HelveticaNeueLT Std"/>
          <w:sz w:val="19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6390"/>
      </w:tblGrid>
      <w:tr w:rsidR="008B7B9F" w:rsidRPr="00260630" w:rsidTr="00F86CC0">
        <w:trPr>
          <w:trHeight w:val="530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31F20"/>
          </w:tcPr>
          <w:p w:rsidR="008B7B9F" w:rsidRPr="00260630" w:rsidRDefault="007E39D4">
            <w:pPr>
              <w:pStyle w:val="TableParagraph"/>
              <w:spacing w:before="104"/>
              <w:ind w:left="190"/>
              <w:rPr>
                <w:rFonts w:ascii="HelveticaNeueLT Std" w:hAnsi="HelveticaNeueLT Std"/>
                <w:sz w:val="32"/>
              </w:rPr>
            </w:pPr>
            <w:r w:rsidRPr="00260630">
              <w:rPr>
                <w:rFonts w:ascii="HelveticaNeueLT Std" w:hAnsi="HelveticaNeueLT Std"/>
                <w:color w:val="FFFFFF"/>
                <w:spacing w:val="58"/>
                <w:sz w:val="32"/>
              </w:rPr>
              <w:t>DEFINITIONS</w:t>
            </w:r>
            <w:r w:rsidRPr="00260630">
              <w:rPr>
                <w:rFonts w:ascii="HelveticaNeueLT Std" w:hAnsi="HelveticaNeueLT Std"/>
                <w:color w:val="FFFFFF"/>
                <w:spacing w:val="-16"/>
                <w:sz w:val="32"/>
              </w:rPr>
              <w:t xml:space="preserve"> </w:t>
            </w:r>
          </w:p>
        </w:tc>
      </w:tr>
      <w:tr w:rsidR="008B7B9F" w:rsidRPr="00260630" w:rsidTr="00260630">
        <w:trPr>
          <w:trHeight w:val="1132"/>
        </w:trPr>
        <w:tc>
          <w:tcPr>
            <w:tcW w:w="3330" w:type="dxa"/>
          </w:tcPr>
          <w:p w:rsidR="008B7B9F" w:rsidRPr="00260630" w:rsidRDefault="008B7B9F">
            <w:pPr>
              <w:pStyle w:val="TableParagraph"/>
              <w:spacing w:before="3"/>
              <w:rPr>
                <w:rFonts w:ascii="HelveticaNeueLT Std" w:hAnsi="HelveticaNeueLT Std"/>
                <w:sz w:val="32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AFFILIATES</w:t>
            </w:r>
          </w:p>
        </w:tc>
        <w:tc>
          <w:tcPr>
            <w:tcW w:w="6390" w:type="dxa"/>
          </w:tcPr>
          <w:p w:rsidR="008B7B9F" w:rsidRPr="00260630" w:rsidRDefault="007E39D4">
            <w:pPr>
              <w:pStyle w:val="TableParagraph"/>
              <w:spacing w:before="91" w:line="232" w:lineRule="auto"/>
              <w:ind w:left="80" w:right="558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related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by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common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ownership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or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control.</w:t>
            </w:r>
            <w:r w:rsidRPr="00260630">
              <w:rPr>
                <w:rFonts w:ascii="HelveticaNeueLT Std" w:hAnsi="HelveticaNeueLT Std"/>
                <w:color w:val="231F20"/>
                <w:spacing w:val="-13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They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can</w:t>
            </w:r>
            <w:r w:rsidRPr="00260630">
              <w:rPr>
                <w:rFonts w:ascii="HelveticaNeueLT Std" w:hAnsi="HelveticaNeueLT Std"/>
                <w:color w:val="231F20"/>
                <w:spacing w:val="-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pacing w:val="-7"/>
                <w:sz w:val="20"/>
              </w:rPr>
              <w:t xml:space="preserve">be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financial and nonfinancial</w:t>
            </w:r>
            <w:r w:rsidRPr="00260630">
              <w:rPr>
                <w:rFonts w:ascii="HelveticaNeueLT Std" w:hAnsi="HelveticaNeueLT Std"/>
                <w:color w:val="231F20"/>
                <w:spacing w:val="7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companies.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83"/>
              <w:ind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Our affiliates include Piper Sandler Companies and Piper Sandler</w:t>
            </w:r>
            <w:r w:rsidRPr="00260630">
              <w:rPr>
                <w:rFonts w:ascii="HelveticaNeueLT Std" w:hAnsi="HelveticaNeueLT Std"/>
                <w:color w:val="231F20"/>
                <w:spacing w:val="-11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&amp;</w:t>
            </w:r>
            <w:r w:rsidR="00260630">
              <w:rPr>
                <w:rFonts w:ascii="HelveticaNeueLT Std" w:hAnsi="HelveticaNeueLT Std"/>
                <w:color w:val="231F20"/>
                <w:sz w:val="20"/>
              </w:rPr>
              <w:t xml:space="preserve"> Co.</w:t>
            </w:r>
          </w:p>
        </w:tc>
      </w:tr>
      <w:tr w:rsidR="008B7B9F" w:rsidRPr="00260630" w:rsidTr="00F86CC0">
        <w:trPr>
          <w:trHeight w:val="1240"/>
        </w:trPr>
        <w:tc>
          <w:tcPr>
            <w:tcW w:w="3330" w:type="dxa"/>
          </w:tcPr>
          <w:p w:rsidR="008B7B9F" w:rsidRPr="00260630" w:rsidRDefault="008B7B9F">
            <w:pPr>
              <w:pStyle w:val="TableParagraph"/>
              <w:rPr>
                <w:rFonts w:ascii="HelveticaNeueLT Std" w:hAnsi="HelveticaNeueLT Std"/>
                <w:sz w:val="24"/>
              </w:rPr>
            </w:pPr>
          </w:p>
          <w:p w:rsidR="008B7B9F" w:rsidRPr="00260630" w:rsidRDefault="008B7B9F">
            <w:pPr>
              <w:pStyle w:val="TableParagraph"/>
              <w:spacing w:before="1"/>
              <w:rPr>
                <w:rFonts w:ascii="HelveticaNeueLT Std" w:hAnsi="HelveticaNeueLT Std"/>
                <w:sz w:val="20"/>
              </w:rPr>
            </w:pPr>
          </w:p>
          <w:p w:rsidR="008B7B9F" w:rsidRPr="00260630" w:rsidRDefault="007E39D4">
            <w:pPr>
              <w:pStyle w:val="TableParagraph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NONAFFILIATES</w:t>
            </w:r>
          </w:p>
        </w:tc>
        <w:tc>
          <w:tcPr>
            <w:tcW w:w="6390" w:type="dxa"/>
            <w:vAlign w:val="center"/>
          </w:tcPr>
          <w:p w:rsidR="008B7B9F" w:rsidRPr="00260630" w:rsidRDefault="007E39D4" w:rsidP="00260630">
            <w:pPr>
              <w:pStyle w:val="TableParagraph"/>
              <w:spacing w:line="223" w:lineRule="exact"/>
              <w:ind w:left="80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 not related by common ownership or control. They can be</w:t>
            </w:r>
            <w:r w:rsidR="00260630">
              <w:rPr>
                <w:rFonts w:ascii="HelveticaNeueLT Std" w:hAnsi="HelveticaNeueLT Std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financial and nonfinancial companies.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80" w:line="220" w:lineRule="auto"/>
              <w:ind w:right="433" w:hanging="19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Piper</w:t>
            </w:r>
            <w:r w:rsidRPr="00260630">
              <w:rPr>
                <w:rFonts w:ascii="HelveticaNeueLT Std" w:hAnsi="HelveticaNeueLT Std"/>
                <w:color w:val="231F20"/>
                <w:spacing w:val="-20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Sandler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does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not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share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with</w:t>
            </w:r>
            <w:r w:rsidRPr="00260630">
              <w:rPr>
                <w:rFonts w:ascii="HelveticaNeueLT Std" w:hAnsi="HelveticaNeueLT Std"/>
                <w:color w:val="231F20"/>
                <w:spacing w:val="-20"/>
                <w:sz w:val="20"/>
              </w:rPr>
              <w:t xml:space="preserve"> </w:t>
            </w:r>
            <w:proofErr w:type="spellStart"/>
            <w:r w:rsidRPr="00260630">
              <w:rPr>
                <w:rFonts w:ascii="HelveticaNeueLT Std" w:hAnsi="HelveticaNeueLT Std"/>
                <w:color w:val="231F20"/>
                <w:sz w:val="20"/>
              </w:rPr>
              <w:t>nonaffiliates</w:t>
            </w:r>
            <w:proofErr w:type="spellEnd"/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so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they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can</w:t>
            </w:r>
            <w:r w:rsidRPr="00260630">
              <w:rPr>
                <w:rFonts w:ascii="HelveticaNeueLT Std" w:hAnsi="HelveticaNeueLT Std"/>
                <w:color w:val="231F20"/>
                <w:spacing w:val="-19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market to</w:t>
            </w:r>
            <w:r w:rsidRPr="00260630">
              <w:rPr>
                <w:rFonts w:ascii="HelveticaNeueLT Std" w:hAnsi="HelveticaNeueLT Std"/>
                <w:color w:val="231F20"/>
                <w:spacing w:val="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you.</w:t>
            </w:r>
          </w:p>
        </w:tc>
      </w:tr>
      <w:tr w:rsidR="008B7B9F" w:rsidRPr="00260630">
        <w:trPr>
          <w:trHeight w:val="970"/>
        </w:trPr>
        <w:tc>
          <w:tcPr>
            <w:tcW w:w="3330" w:type="dxa"/>
          </w:tcPr>
          <w:p w:rsidR="008B7B9F" w:rsidRPr="00260630" w:rsidRDefault="008B7B9F">
            <w:pPr>
              <w:pStyle w:val="TableParagraph"/>
              <w:spacing w:before="3"/>
              <w:rPr>
                <w:rFonts w:ascii="HelveticaNeueLT Std" w:hAnsi="HelveticaNeueLT Std"/>
                <w:sz w:val="32"/>
              </w:rPr>
            </w:pPr>
          </w:p>
          <w:p w:rsidR="008B7B9F" w:rsidRPr="00260630" w:rsidRDefault="007E39D4">
            <w:pPr>
              <w:pStyle w:val="TableParagraph"/>
              <w:spacing w:before="1"/>
              <w:ind w:left="180"/>
              <w:rPr>
                <w:rFonts w:ascii="HelveticaNeueLT Std" w:hAnsi="HelveticaNeueLT Std"/>
              </w:rPr>
            </w:pPr>
            <w:r w:rsidRPr="00260630">
              <w:rPr>
                <w:rFonts w:ascii="HelveticaNeueLT Std" w:hAnsi="HelveticaNeueLT Std"/>
                <w:color w:val="231F20"/>
              </w:rPr>
              <w:t>JOINT MARKETING</w:t>
            </w:r>
          </w:p>
        </w:tc>
        <w:tc>
          <w:tcPr>
            <w:tcW w:w="6390" w:type="dxa"/>
          </w:tcPr>
          <w:p w:rsidR="008B7B9F" w:rsidRPr="00260630" w:rsidRDefault="007E39D4">
            <w:pPr>
              <w:pStyle w:val="TableParagraph"/>
              <w:spacing w:before="91" w:line="232" w:lineRule="auto"/>
              <w:ind w:left="80" w:right="488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A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formal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agreement</w:t>
            </w:r>
            <w:r w:rsidRPr="00260630">
              <w:rPr>
                <w:rFonts w:ascii="HelveticaNeueLT Std" w:hAnsi="HelveticaNeueLT Std"/>
                <w:color w:val="231F20"/>
                <w:spacing w:val="-2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between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nonaffiliated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financial</w:t>
            </w:r>
            <w:r w:rsidRPr="00260630">
              <w:rPr>
                <w:rFonts w:ascii="HelveticaNeueLT Std" w:hAnsi="HelveticaNeueLT Std"/>
                <w:color w:val="231F20"/>
                <w:spacing w:val="-24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companies</w:t>
            </w:r>
            <w:r w:rsidRPr="00260630">
              <w:rPr>
                <w:rFonts w:ascii="HelveticaNeueLT Std" w:hAnsi="HelveticaNeueLT Std"/>
                <w:color w:val="231F20"/>
                <w:spacing w:val="-2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pacing w:val="-4"/>
                <w:sz w:val="20"/>
              </w:rPr>
              <w:t xml:space="preserve">that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together market financial products or services to</w:t>
            </w:r>
            <w:r w:rsidRPr="00260630">
              <w:rPr>
                <w:rFonts w:ascii="HelveticaNeueLT Std" w:hAnsi="HelveticaNeueLT Std"/>
                <w:color w:val="231F20"/>
                <w:spacing w:val="-5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you.</w:t>
            </w:r>
          </w:p>
          <w:p w:rsidR="008B7B9F" w:rsidRPr="00260630" w:rsidRDefault="007E39D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61"/>
              <w:rPr>
                <w:rFonts w:ascii="HelveticaNeueLT Std" w:hAnsi="HelveticaNeueLT Std"/>
                <w:sz w:val="20"/>
              </w:rPr>
            </w:pPr>
            <w:r w:rsidRPr="00260630">
              <w:rPr>
                <w:rFonts w:ascii="HelveticaNeueLT Std" w:hAnsi="HelveticaNeueLT Std"/>
                <w:color w:val="231F20"/>
                <w:sz w:val="20"/>
              </w:rPr>
              <w:t>Piper Sandler does not jointly</w:t>
            </w:r>
            <w:r w:rsidRPr="00260630">
              <w:rPr>
                <w:rFonts w:ascii="HelveticaNeueLT Std" w:hAnsi="HelveticaNeueLT Std"/>
                <w:color w:val="231F20"/>
                <w:spacing w:val="12"/>
                <w:sz w:val="20"/>
              </w:rPr>
              <w:t xml:space="preserve"> </w:t>
            </w:r>
            <w:r w:rsidRPr="00260630">
              <w:rPr>
                <w:rFonts w:ascii="HelveticaNeueLT Std" w:hAnsi="HelveticaNeueLT Std"/>
                <w:color w:val="231F20"/>
                <w:sz w:val="20"/>
              </w:rPr>
              <w:t>market.</w:t>
            </w:r>
          </w:p>
        </w:tc>
      </w:tr>
    </w:tbl>
    <w:p w:rsidR="007E39D4" w:rsidRDefault="007E39D4">
      <w:pPr>
        <w:rPr>
          <w:rFonts w:ascii="HelveticaNeueLT Std" w:hAnsi="HelveticaNeueLT Std"/>
        </w:rPr>
      </w:pPr>
    </w:p>
    <w:p w:rsidR="00260630" w:rsidRPr="00260630" w:rsidRDefault="00260630">
      <w:pPr>
        <w:rPr>
          <w:rFonts w:ascii="HelveticaNeueLT Std" w:hAnsi="HelveticaNeueLT Std"/>
        </w:rPr>
      </w:pPr>
    </w:p>
    <w:p w:rsidR="00260630" w:rsidRPr="00260630" w:rsidRDefault="00260630" w:rsidP="00260630">
      <w:pPr>
        <w:ind w:left="180"/>
        <w:rPr>
          <w:rFonts w:ascii="HelveticaNeueLT Std" w:hAnsi="HelveticaNeueLT Std"/>
          <w:sz w:val="20"/>
          <w:szCs w:val="20"/>
        </w:rPr>
      </w:pPr>
      <w:r w:rsidRPr="00260630">
        <w:rPr>
          <w:rFonts w:ascii="HelveticaNeueLT Std" w:hAnsi="HelveticaNeueLT Std"/>
          <w:sz w:val="20"/>
          <w:szCs w:val="20"/>
        </w:rPr>
        <w:t xml:space="preserve">PSC Capital Partners LLC is a subsidiary of Piper Sandler Companies. If you are a California resident, please see </w:t>
      </w:r>
      <w:hyperlink r:id="rId9" w:history="1">
        <w:r w:rsidRPr="001D6A04">
          <w:rPr>
            <w:rStyle w:val="Hyperlink"/>
            <w:rFonts w:ascii="HelveticaNeueLT Std" w:hAnsi="HelveticaNeueLT Std"/>
            <w:sz w:val="20"/>
            <w:szCs w:val="20"/>
          </w:rPr>
          <w:t>PiperSandler.com</w:t>
        </w:r>
      </w:hyperlink>
      <w:bookmarkStart w:id="0" w:name="_GoBack"/>
      <w:bookmarkEnd w:id="0"/>
      <w:r w:rsidRPr="00260630">
        <w:rPr>
          <w:rFonts w:ascii="HelveticaNeueLT Std" w:hAnsi="HelveticaNeueLT Std"/>
          <w:sz w:val="20"/>
          <w:szCs w:val="20"/>
        </w:rPr>
        <w:t xml:space="preserve"> for information regarding the Piper Sandler Companies California Consumer Privacy Policy.</w:t>
      </w:r>
    </w:p>
    <w:p w:rsidR="00260630" w:rsidRPr="00260630" w:rsidRDefault="00260630">
      <w:pPr>
        <w:rPr>
          <w:rFonts w:ascii="HelveticaNeueLT Std" w:hAnsi="HelveticaNeueLT Std"/>
        </w:rPr>
      </w:pPr>
    </w:p>
    <w:sectPr w:rsidR="00260630" w:rsidRPr="00260630">
      <w:pgSz w:w="12240" w:h="15840"/>
      <w:pgMar w:top="900" w:right="1120" w:bottom="1440" w:left="116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D4" w:rsidRDefault="007E39D4">
      <w:r>
        <w:separator/>
      </w:r>
    </w:p>
  </w:endnote>
  <w:endnote w:type="continuationSeparator" w:id="0">
    <w:p w:rsidR="007E39D4" w:rsidRDefault="007E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alaSans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9F" w:rsidRDefault="001D6A04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" from="63pt,720.25pt" to="549pt,720.25pt" strokecolor="#231f20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D4" w:rsidRDefault="007E39D4">
      <w:r>
        <w:separator/>
      </w:r>
    </w:p>
  </w:footnote>
  <w:footnote w:type="continuationSeparator" w:id="0">
    <w:p w:rsidR="007E39D4" w:rsidRDefault="007E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AA4"/>
    <w:multiLevelType w:val="hybridMultilevel"/>
    <w:tmpl w:val="6F48924A"/>
    <w:lvl w:ilvl="0" w:tplc="8E8E8940">
      <w:numFmt w:val="bullet"/>
      <w:lvlText w:val="•"/>
      <w:lvlJc w:val="left"/>
      <w:pPr>
        <w:ind w:left="271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E5DA6EE2">
      <w:numFmt w:val="bullet"/>
      <w:lvlText w:val="•"/>
      <w:lvlJc w:val="left"/>
      <w:pPr>
        <w:ind w:left="889" w:hanging="192"/>
      </w:pPr>
      <w:rPr>
        <w:rFonts w:hint="default"/>
      </w:rPr>
    </w:lvl>
    <w:lvl w:ilvl="2" w:tplc="54641078">
      <w:numFmt w:val="bullet"/>
      <w:lvlText w:val="•"/>
      <w:lvlJc w:val="left"/>
      <w:pPr>
        <w:ind w:left="1498" w:hanging="192"/>
      </w:pPr>
      <w:rPr>
        <w:rFonts w:hint="default"/>
      </w:rPr>
    </w:lvl>
    <w:lvl w:ilvl="3" w:tplc="5128E32A">
      <w:numFmt w:val="bullet"/>
      <w:lvlText w:val="•"/>
      <w:lvlJc w:val="left"/>
      <w:pPr>
        <w:ind w:left="2107" w:hanging="192"/>
      </w:pPr>
      <w:rPr>
        <w:rFonts w:hint="default"/>
      </w:rPr>
    </w:lvl>
    <w:lvl w:ilvl="4" w:tplc="5B58A40C">
      <w:numFmt w:val="bullet"/>
      <w:lvlText w:val="•"/>
      <w:lvlJc w:val="left"/>
      <w:pPr>
        <w:ind w:left="2716" w:hanging="192"/>
      </w:pPr>
      <w:rPr>
        <w:rFonts w:hint="default"/>
      </w:rPr>
    </w:lvl>
    <w:lvl w:ilvl="5" w:tplc="F22E829A">
      <w:numFmt w:val="bullet"/>
      <w:lvlText w:val="•"/>
      <w:lvlJc w:val="left"/>
      <w:pPr>
        <w:ind w:left="3325" w:hanging="192"/>
      </w:pPr>
      <w:rPr>
        <w:rFonts w:hint="default"/>
      </w:rPr>
    </w:lvl>
    <w:lvl w:ilvl="6" w:tplc="BB8455C0">
      <w:numFmt w:val="bullet"/>
      <w:lvlText w:val="•"/>
      <w:lvlJc w:val="left"/>
      <w:pPr>
        <w:ind w:left="3934" w:hanging="192"/>
      </w:pPr>
      <w:rPr>
        <w:rFonts w:hint="default"/>
      </w:rPr>
    </w:lvl>
    <w:lvl w:ilvl="7" w:tplc="FEAC9BDC">
      <w:numFmt w:val="bullet"/>
      <w:lvlText w:val="•"/>
      <w:lvlJc w:val="left"/>
      <w:pPr>
        <w:ind w:left="4543" w:hanging="192"/>
      </w:pPr>
      <w:rPr>
        <w:rFonts w:hint="default"/>
      </w:rPr>
    </w:lvl>
    <w:lvl w:ilvl="8" w:tplc="DE82D1D6">
      <w:numFmt w:val="bullet"/>
      <w:lvlText w:val="•"/>
      <w:lvlJc w:val="left"/>
      <w:pPr>
        <w:ind w:left="5152" w:hanging="192"/>
      </w:pPr>
      <w:rPr>
        <w:rFonts w:hint="default"/>
      </w:rPr>
    </w:lvl>
  </w:abstractNum>
  <w:abstractNum w:abstractNumId="1" w15:restartNumberingAfterBreak="0">
    <w:nsid w:val="03922D2D"/>
    <w:multiLevelType w:val="hybridMultilevel"/>
    <w:tmpl w:val="AC26A21E"/>
    <w:lvl w:ilvl="0" w:tplc="F48053B0">
      <w:numFmt w:val="bullet"/>
      <w:lvlText w:val="•"/>
      <w:lvlJc w:val="left"/>
      <w:pPr>
        <w:ind w:left="246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169CBF84">
      <w:numFmt w:val="bullet"/>
      <w:lvlText w:val="•"/>
      <w:lvlJc w:val="left"/>
      <w:pPr>
        <w:ind w:left="853" w:hanging="192"/>
      </w:pPr>
      <w:rPr>
        <w:rFonts w:hint="default"/>
      </w:rPr>
    </w:lvl>
    <w:lvl w:ilvl="2" w:tplc="B696397C">
      <w:numFmt w:val="bullet"/>
      <w:lvlText w:val="•"/>
      <w:lvlJc w:val="left"/>
      <w:pPr>
        <w:ind w:left="1466" w:hanging="192"/>
      </w:pPr>
      <w:rPr>
        <w:rFonts w:hint="default"/>
      </w:rPr>
    </w:lvl>
    <w:lvl w:ilvl="3" w:tplc="BA90D79A">
      <w:numFmt w:val="bullet"/>
      <w:lvlText w:val="•"/>
      <w:lvlJc w:val="left"/>
      <w:pPr>
        <w:ind w:left="2079" w:hanging="192"/>
      </w:pPr>
      <w:rPr>
        <w:rFonts w:hint="default"/>
      </w:rPr>
    </w:lvl>
    <w:lvl w:ilvl="4" w:tplc="B77CB0B8">
      <w:numFmt w:val="bullet"/>
      <w:lvlText w:val="•"/>
      <w:lvlJc w:val="left"/>
      <w:pPr>
        <w:ind w:left="2692" w:hanging="192"/>
      </w:pPr>
      <w:rPr>
        <w:rFonts w:hint="default"/>
      </w:rPr>
    </w:lvl>
    <w:lvl w:ilvl="5" w:tplc="F37C97EC">
      <w:numFmt w:val="bullet"/>
      <w:lvlText w:val="•"/>
      <w:lvlJc w:val="left"/>
      <w:pPr>
        <w:ind w:left="3305" w:hanging="192"/>
      </w:pPr>
      <w:rPr>
        <w:rFonts w:hint="default"/>
      </w:rPr>
    </w:lvl>
    <w:lvl w:ilvl="6" w:tplc="C2E2DB44">
      <w:numFmt w:val="bullet"/>
      <w:lvlText w:val="•"/>
      <w:lvlJc w:val="left"/>
      <w:pPr>
        <w:ind w:left="3918" w:hanging="192"/>
      </w:pPr>
      <w:rPr>
        <w:rFonts w:hint="default"/>
      </w:rPr>
    </w:lvl>
    <w:lvl w:ilvl="7" w:tplc="7234C8B4">
      <w:numFmt w:val="bullet"/>
      <w:lvlText w:val="•"/>
      <w:lvlJc w:val="left"/>
      <w:pPr>
        <w:ind w:left="4531" w:hanging="192"/>
      </w:pPr>
      <w:rPr>
        <w:rFonts w:hint="default"/>
      </w:rPr>
    </w:lvl>
    <w:lvl w:ilvl="8" w:tplc="35FA0E6A">
      <w:numFmt w:val="bullet"/>
      <w:lvlText w:val="•"/>
      <w:lvlJc w:val="left"/>
      <w:pPr>
        <w:ind w:left="5144" w:hanging="192"/>
      </w:pPr>
      <w:rPr>
        <w:rFonts w:hint="default"/>
      </w:rPr>
    </w:lvl>
  </w:abstractNum>
  <w:abstractNum w:abstractNumId="2" w15:restartNumberingAfterBreak="0">
    <w:nsid w:val="2D26547A"/>
    <w:multiLevelType w:val="hybridMultilevel"/>
    <w:tmpl w:val="3830D1B2"/>
    <w:lvl w:ilvl="0" w:tplc="0EB8040A">
      <w:numFmt w:val="bullet"/>
      <w:lvlText w:val="•"/>
      <w:lvlJc w:val="left"/>
      <w:pPr>
        <w:ind w:left="271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69A45A0A">
      <w:numFmt w:val="bullet"/>
      <w:lvlText w:val="•"/>
      <w:lvlJc w:val="left"/>
      <w:pPr>
        <w:ind w:left="889" w:hanging="192"/>
      </w:pPr>
      <w:rPr>
        <w:rFonts w:hint="default"/>
      </w:rPr>
    </w:lvl>
    <w:lvl w:ilvl="2" w:tplc="88CC9656">
      <w:numFmt w:val="bullet"/>
      <w:lvlText w:val="•"/>
      <w:lvlJc w:val="left"/>
      <w:pPr>
        <w:ind w:left="1498" w:hanging="192"/>
      </w:pPr>
      <w:rPr>
        <w:rFonts w:hint="default"/>
      </w:rPr>
    </w:lvl>
    <w:lvl w:ilvl="3" w:tplc="EFD09762">
      <w:numFmt w:val="bullet"/>
      <w:lvlText w:val="•"/>
      <w:lvlJc w:val="left"/>
      <w:pPr>
        <w:ind w:left="2107" w:hanging="192"/>
      </w:pPr>
      <w:rPr>
        <w:rFonts w:hint="default"/>
      </w:rPr>
    </w:lvl>
    <w:lvl w:ilvl="4" w:tplc="1E62EE8A">
      <w:numFmt w:val="bullet"/>
      <w:lvlText w:val="•"/>
      <w:lvlJc w:val="left"/>
      <w:pPr>
        <w:ind w:left="2716" w:hanging="192"/>
      </w:pPr>
      <w:rPr>
        <w:rFonts w:hint="default"/>
      </w:rPr>
    </w:lvl>
    <w:lvl w:ilvl="5" w:tplc="ED78A7B8">
      <w:numFmt w:val="bullet"/>
      <w:lvlText w:val="•"/>
      <w:lvlJc w:val="left"/>
      <w:pPr>
        <w:ind w:left="3325" w:hanging="192"/>
      </w:pPr>
      <w:rPr>
        <w:rFonts w:hint="default"/>
      </w:rPr>
    </w:lvl>
    <w:lvl w:ilvl="6" w:tplc="A6CA0654">
      <w:numFmt w:val="bullet"/>
      <w:lvlText w:val="•"/>
      <w:lvlJc w:val="left"/>
      <w:pPr>
        <w:ind w:left="3934" w:hanging="192"/>
      </w:pPr>
      <w:rPr>
        <w:rFonts w:hint="default"/>
      </w:rPr>
    </w:lvl>
    <w:lvl w:ilvl="7" w:tplc="3198D9A0">
      <w:numFmt w:val="bullet"/>
      <w:lvlText w:val="•"/>
      <w:lvlJc w:val="left"/>
      <w:pPr>
        <w:ind w:left="4543" w:hanging="192"/>
      </w:pPr>
      <w:rPr>
        <w:rFonts w:hint="default"/>
      </w:rPr>
    </w:lvl>
    <w:lvl w:ilvl="8" w:tplc="73A85998">
      <w:numFmt w:val="bullet"/>
      <w:lvlText w:val="•"/>
      <w:lvlJc w:val="left"/>
      <w:pPr>
        <w:ind w:left="5152" w:hanging="192"/>
      </w:pPr>
      <w:rPr>
        <w:rFonts w:hint="default"/>
      </w:rPr>
    </w:lvl>
  </w:abstractNum>
  <w:abstractNum w:abstractNumId="3" w15:restartNumberingAfterBreak="0">
    <w:nsid w:val="39C151FD"/>
    <w:multiLevelType w:val="hybridMultilevel"/>
    <w:tmpl w:val="422E4CF0"/>
    <w:lvl w:ilvl="0" w:tplc="0046FC72">
      <w:numFmt w:val="bullet"/>
      <w:lvlText w:val="•"/>
      <w:lvlJc w:val="left"/>
      <w:pPr>
        <w:ind w:left="273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5770DE82">
      <w:numFmt w:val="bullet"/>
      <w:lvlText w:val="•"/>
      <w:lvlJc w:val="left"/>
      <w:pPr>
        <w:ind w:left="889" w:hanging="192"/>
      </w:pPr>
      <w:rPr>
        <w:rFonts w:hint="default"/>
      </w:rPr>
    </w:lvl>
    <w:lvl w:ilvl="2" w:tplc="D7E87E24">
      <w:numFmt w:val="bullet"/>
      <w:lvlText w:val="•"/>
      <w:lvlJc w:val="left"/>
      <w:pPr>
        <w:ind w:left="1498" w:hanging="192"/>
      </w:pPr>
      <w:rPr>
        <w:rFonts w:hint="default"/>
      </w:rPr>
    </w:lvl>
    <w:lvl w:ilvl="3" w:tplc="AA201830">
      <w:numFmt w:val="bullet"/>
      <w:lvlText w:val="•"/>
      <w:lvlJc w:val="left"/>
      <w:pPr>
        <w:ind w:left="2107" w:hanging="192"/>
      </w:pPr>
      <w:rPr>
        <w:rFonts w:hint="default"/>
      </w:rPr>
    </w:lvl>
    <w:lvl w:ilvl="4" w:tplc="4D262BD0">
      <w:numFmt w:val="bullet"/>
      <w:lvlText w:val="•"/>
      <w:lvlJc w:val="left"/>
      <w:pPr>
        <w:ind w:left="2716" w:hanging="192"/>
      </w:pPr>
      <w:rPr>
        <w:rFonts w:hint="default"/>
      </w:rPr>
    </w:lvl>
    <w:lvl w:ilvl="5" w:tplc="3F58A7CA">
      <w:numFmt w:val="bullet"/>
      <w:lvlText w:val="•"/>
      <w:lvlJc w:val="left"/>
      <w:pPr>
        <w:ind w:left="3325" w:hanging="192"/>
      </w:pPr>
      <w:rPr>
        <w:rFonts w:hint="default"/>
      </w:rPr>
    </w:lvl>
    <w:lvl w:ilvl="6" w:tplc="6584F076">
      <w:numFmt w:val="bullet"/>
      <w:lvlText w:val="•"/>
      <w:lvlJc w:val="left"/>
      <w:pPr>
        <w:ind w:left="3934" w:hanging="192"/>
      </w:pPr>
      <w:rPr>
        <w:rFonts w:hint="default"/>
      </w:rPr>
    </w:lvl>
    <w:lvl w:ilvl="7" w:tplc="8CBC9F1E">
      <w:numFmt w:val="bullet"/>
      <w:lvlText w:val="•"/>
      <w:lvlJc w:val="left"/>
      <w:pPr>
        <w:ind w:left="4543" w:hanging="192"/>
      </w:pPr>
      <w:rPr>
        <w:rFonts w:hint="default"/>
      </w:rPr>
    </w:lvl>
    <w:lvl w:ilvl="8" w:tplc="E5A21390">
      <w:numFmt w:val="bullet"/>
      <w:lvlText w:val="•"/>
      <w:lvlJc w:val="left"/>
      <w:pPr>
        <w:ind w:left="5152" w:hanging="192"/>
      </w:pPr>
      <w:rPr>
        <w:rFonts w:hint="default"/>
      </w:rPr>
    </w:lvl>
  </w:abstractNum>
  <w:abstractNum w:abstractNumId="4" w15:restartNumberingAfterBreak="0">
    <w:nsid w:val="3C752447"/>
    <w:multiLevelType w:val="hybridMultilevel"/>
    <w:tmpl w:val="FD6A4EC0"/>
    <w:lvl w:ilvl="0" w:tplc="98E40540">
      <w:numFmt w:val="bullet"/>
      <w:lvlText w:val="•"/>
      <w:lvlJc w:val="left"/>
      <w:pPr>
        <w:ind w:left="273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D41A7436">
      <w:numFmt w:val="bullet"/>
      <w:lvlText w:val="•"/>
      <w:lvlJc w:val="left"/>
      <w:pPr>
        <w:ind w:left="889" w:hanging="192"/>
      </w:pPr>
      <w:rPr>
        <w:rFonts w:hint="default"/>
      </w:rPr>
    </w:lvl>
    <w:lvl w:ilvl="2" w:tplc="A08CBD5A">
      <w:numFmt w:val="bullet"/>
      <w:lvlText w:val="•"/>
      <w:lvlJc w:val="left"/>
      <w:pPr>
        <w:ind w:left="1498" w:hanging="192"/>
      </w:pPr>
      <w:rPr>
        <w:rFonts w:hint="default"/>
      </w:rPr>
    </w:lvl>
    <w:lvl w:ilvl="3" w:tplc="DCF2D8F8">
      <w:numFmt w:val="bullet"/>
      <w:lvlText w:val="•"/>
      <w:lvlJc w:val="left"/>
      <w:pPr>
        <w:ind w:left="2107" w:hanging="192"/>
      </w:pPr>
      <w:rPr>
        <w:rFonts w:hint="default"/>
      </w:rPr>
    </w:lvl>
    <w:lvl w:ilvl="4" w:tplc="49385AF0">
      <w:numFmt w:val="bullet"/>
      <w:lvlText w:val="•"/>
      <w:lvlJc w:val="left"/>
      <w:pPr>
        <w:ind w:left="2716" w:hanging="192"/>
      </w:pPr>
      <w:rPr>
        <w:rFonts w:hint="default"/>
      </w:rPr>
    </w:lvl>
    <w:lvl w:ilvl="5" w:tplc="1CB49718">
      <w:numFmt w:val="bullet"/>
      <w:lvlText w:val="•"/>
      <w:lvlJc w:val="left"/>
      <w:pPr>
        <w:ind w:left="3325" w:hanging="192"/>
      </w:pPr>
      <w:rPr>
        <w:rFonts w:hint="default"/>
      </w:rPr>
    </w:lvl>
    <w:lvl w:ilvl="6" w:tplc="EADC9254">
      <w:numFmt w:val="bullet"/>
      <w:lvlText w:val="•"/>
      <w:lvlJc w:val="left"/>
      <w:pPr>
        <w:ind w:left="3934" w:hanging="192"/>
      </w:pPr>
      <w:rPr>
        <w:rFonts w:hint="default"/>
      </w:rPr>
    </w:lvl>
    <w:lvl w:ilvl="7" w:tplc="1902B816">
      <w:numFmt w:val="bullet"/>
      <w:lvlText w:val="•"/>
      <w:lvlJc w:val="left"/>
      <w:pPr>
        <w:ind w:left="4543" w:hanging="192"/>
      </w:pPr>
      <w:rPr>
        <w:rFonts w:hint="default"/>
      </w:rPr>
    </w:lvl>
    <w:lvl w:ilvl="8" w:tplc="C3E0FC56">
      <w:numFmt w:val="bullet"/>
      <w:lvlText w:val="•"/>
      <w:lvlJc w:val="left"/>
      <w:pPr>
        <w:ind w:left="5152" w:hanging="192"/>
      </w:pPr>
      <w:rPr>
        <w:rFonts w:hint="default"/>
      </w:rPr>
    </w:lvl>
  </w:abstractNum>
  <w:abstractNum w:abstractNumId="5" w15:restartNumberingAfterBreak="0">
    <w:nsid w:val="4E9C7852"/>
    <w:multiLevelType w:val="hybridMultilevel"/>
    <w:tmpl w:val="8A380D1E"/>
    <w:lvl w:ilvl="0" w:tplc="BD4C9EDE">
      <w:numFmt w:val="bullet"/>
      <w:lvlText w:val="•"/>
      <w:lvlJc w:val="left"/>
      <w:pPr>
        <w:ind w:left="371" w:hanging="192"/>
      </w:pPr>
      <w:rPr>
        <w:rFonts w:ascii="Cambria" w:eastAsia="Cambria" w:hAnsi="Cambria" w:cs="Cambria" w:hint="default"/>
        <w:color w:val="231F20"/>
        <w:w w:val="112"/>
        <w:sz w:val="16"/>
        <w:szCs w:val="16"/>
      </w:rPr>
    </w:lvl>
    <w:lvl w:ilvl="1" w:tplc="456A8A14">
      <w:numFmt w:val="bullet"/>
      <w:lvlText w:val="•"/>
      <w:lvlJc w:val="left"/>
      <w:pPr>
        <w:ind w:left="1159" w:hanging="192"/>
      </w:pPr>
      <w:rPr>
        <w:rFonts w:hint="default"/>
      </w:rPr>
    </w:lvl>
    <w:lvl w:ilvl="2" w:tplc="C0504C4C">
      <w:numFmt w:val="bullet"/>
      <w:lvlText w:val="•"/>
      <w:lvlJc w:val="left"/>
      <w:pPr>
        <w:ind w:left="1938" w:hanging="192"/>
      </w:pPr>
      <w:rPr>
        <w:rFonts w:hint="default"/>
      </w:rPr>
    </w:lvl>
    <w:lvl w:ilvl="3" w:tplc="5748F962">
      <w:numFmt w:val="bullet"/>
      <w:lvlText w:val="•"/>
      <w:lvlJc w:val="left"/>
      <w:pPr>
        <w:ind w:left="2717" w:hanging="192"/>
      </w:pPr>
      <w:rPr>
        <w:rFonts w:hint="default"/>
      </w:rPr>
    </w:lvl>
    <w:lvl w:ilvl="4" w:tplc="E25EEDFC">
      <w:numFmt w:val="bullet"/>
      <w:lvlText w:val="•"/>
      <w:lvlJc w:val="left"/>
      <w:pPr>
        <w:ind w:left="3496" w:hanging="192"/>
      </w:pPr>
      <w:rPr>
        <w:rFonts w:hint="default"/>
      </w:rPr>
    </w:lvl>
    <w:lvl w:ilvl="5" w:tplc="7490124E">
      <w:numFmt w:val="bullet"/>
      <w:lvlText w:val="•"/>
      <w:lvlJc w:val="left"/>
      <w:pPr>
        <w:ind w:left="4275" w:hanging="192"/>
      </w:pPr>
      <w:rPr>
        <w:rFonts w:hint="default"/>
      </w:rPr>
    </w:lvl>
    <w:lvl w:ilvl="6" w:tplc="B5F886EE">
      <w:numFmt w:val="bullet"/>
      <w:lvlText w:val="•"/>
      <w:lvlJc w:val="left"/>
      <w:pPr>
        <w:ind w:left="5054" w:hanging="192"/>
      </w:pPr>
      <w:rPr>
        <w:rFonts w:hint="default"/>
      </w:rPr>
    </w:lvl>
    <w:lvl w:ilvl="7" w:tplc="E2403960">
      <w:numFmt w:val="bullet"/>
      <w:lvlText w:val="•"/>
      <w:lvlJc w:val="left"/>
      <w:pPr>
        <w:ind w:left="5833" w:hanging="192"/>
      </w:pPr>
      <w:rPr>
        <w:rFonts w:hint="default"/>
      </w:rPr>
    </w:lvl>
    <w:lvl w:ilvl="8" w:tplc="89E0DC52">
      <w:numFmt w:val="bullet"/>
      <w:lvlText w:val="•"/>
      <w:lvlJc w:val="left"/>
      <w:pPr>
        <w:ind w:left="6612" w:hanging="192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7B9F"/>
    <w:rsid w:val="001D6A04"/>
    <w:rsid w:val="00260630"/>
    <w:rsid w:val="007E39D4"/>
    <w:rsid w:val="008B7B9F"/>
    <w:rsid w:val="00916C96"/>
    <w:rsid w:val="00924DD9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4728513-2FF2-42B1-ABE2-EED0B508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calaSans-Regular" w:eastAsia="ScalaSans-Regular" w:hAnsi="ScalaSans-Regular" w:cs="ScalaSans-Regular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ipersandl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persandler.com/private/pdf/PSC_CA_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Piper Jaffray &amp; Co.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Otremba, Sarah</dc:creator>
  <cp:lastModifiedBy>Sarah Otremba</cp:lastModifiedBy>
  <cp:revision>5</cp:revision>
  <dcterms:created xsi:type="dcterms:W3CDTF">2020-01-03T14:51:00Z</dcterms:created>
  <dcterms:modified xsi:type="dcterms:W3CDTF">2020-01-03T16:09:00Z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2020-01-02T00:00:00Z</vt:filetime>
  </property>
</Properties>
</file>